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MITF SWITCHES FROM ACTIVATOR TO REPRESSOR OF ERBIN EXPRESSION DURING CARDIAC HYPERTROPHY  </w:t>
      </w:r>
    </w:p>
    <w:p w:rsidR="00B921ED" w:rsidRDefault="00B921ED" w:rsidP="00170138">
      <w:pPr>
        <w:widowControl w:val="0"/>
        <w:autoSpaceDE w:val="0"/>
        <w:autoSpaceDN w:val="0"/>
        <w:adjustRightInd w:val="0"/>
      </w:pPr>
      <w:r w:rsidRPr="00170138">
        <w:rPr>
          <w:b/>
          <w:bCs/>
          <w:u w:val="single"/>
        </w:rPr>
        <w:t>I</w:t>
      </w:r>
      <w:r w:rsidR="00170138" w:rsidRPr="00170138">
        <w:rPr>
          <w:b/>
          <w:bCs/>
          <w:u w:val="single"/>
        </w:rPr>
        <w:t>.</w:t>
      </w:r>
      <w:r w:rsidRPr="00170138">
        <w:rPr>
          <w:b/>
          <w:bCs/>
          <w:u w:val="single"/>
        </w:rPr>
        <w:t xml:space="preserve"> Rachmin</w:t>
      </w:r>
      <w:r w:rsidR="00170138" w:rsidRPr="00170138">
        <w:rPr>
          <w:b/>
          <w:bCs/>
          <w:u w:val="single"/>
          <w:vertAlign w:val="superscript"/>
        </w:rPr>
        <w:t>1,9,10</w:t>
      </w:r>
      <w:r>
        <w:t>, E</w:t>
      </w:r>
      <w:r w:rsidR="00170138">
        <w:t>.</w:t>
      </w:r>
      <w:r>
        <w:t xml:space="preserve"> Amsalem</w:t>
      </w:r>
      <w:r w:rsidR="00170138" w:rsidRPr="00170138">
        <w:rPr>
          <w:vertAlign w:val="superscript"/>
        </w:rPr>
        <w:t>1</w:t>
      </w:r>
      <w:r>
        <w:t>, E</w:t>
      </w:r>
      <w:r w:rsidR="00170138">
        <w:t>.</w:t>
      </w:r>
      <w:r>
        <w:t xml:space="preserve"> Golomb</w:t>
      </w:r>
      <w:r w:rsidR="00170138" w:rsidRPr="00170138">
        <w:rPr>
          <w:vertAlign w:val="superscript"/>
        </w:rPr>
        <w:t>2</w:t>
      </w:r>
      <w:r>
        <w:t>, R</w:t>
      </w:r>
      <w:r w:rsidR="00170138">
        <w:t>.</w:t>
      </w:r>
      <w:r>
        <w:t xml:space="preserve"> Beeri</w:t>
      </w:r>
      <w:r w:rsidR="00170138" w:rsidRPr="00170138">
        <w:rPr>
          <w:vertAlign w:val="superscript"/>
        </w:rPr>
        <w:t>8</w:t>
      </w:r>
      <w:r>
        <w:t>, D</w:t>
      </w:r>
      <w:r w:rsidR="00170138">
        <w:t>.</w:t>
      </w:r>
      <w:r>
        <w:t xml:space="preserve"> Gilon</w:t>
      </w:r>
      <w:r w:rsidR="00170138" w:rsidRPr="00170138">
        <w:rPr>
          <w:vertAlign w:val="superscript"/>
        </w:rPr>
        <w:t>8</w:t>
      </w:r>
      <w:r>
        <w:t>, G</w:t>
      </w:r>
      <w:r w:rsidR="00170138">
        <w:t>.</w:t>
      </w:r>
      <w:r>
        <w:t xml:space="preserve"> Min</w:t>
      </w:r>
      <w:r w:rsidR="00170138" w:rsidRPr="00170138">
        <w:rPr>
          <w:vertAlign w:val="superscript"/>
        </w:rPr>
        <w:t>3</w:t>
      </w:r>
      <w:r>
        <w:t>, R</w:t>
      </w:r>
      <w:r w:rsidR="00170138">
        <w:t>.</w:t>
      </w:r>
      <w:r>
        <w:t>S</w:t>
      </w:r>
      <w:r w:rsidR="00170138">
        <w:t>.</w:t>
      </w:r>
      <w:r>
        <w:t>Y</w:t>
      </w:r>
      <w:r w:rsidR="00170138">
        <w:t>.</w:t>
      </w:r>
      <w:r>
        <w:t xml:space="preserve"> Foo</w:t>
      </w:r>
      <w:r w:rsidR="00170138" w:rsidRPr="00170138">
        <w:rPr>
          <w:vertAlign w:val="superscript"/>
        </w:rPr>
        <w:t>5</w:t>
      </w:r>
      <w:r>
        <w:t>, D</w:t>
      </w:r>
      <w:r w:rsidR="00170138">
        <w:t>.</w:t>
      </w:r>
      <w:r>
        <w:t>E</w:t>
      </w:r>
      <w:r w:rsidR="00170138">
        <w:t>.</w:t>
      </w:r>
      <w:r>
        <w:t xml:space="preserve"> Fisher</w:t>
      </w:r>
      <w:r w:rsidR="00170138" w:rsidRPr="00170138">
        <w:rPr>
          <w:vertAlign w:val="superscript"/>
        </w:rPr>
        <w:t>6</w:t>
      </w:r>
      <w:r>
        <w:t>, E</w:t>
      </w:r>
      <w:r w:rsidR="00170138">
        <w:t>.</w:t>
      </w:r>
      <w:r>
        <w:t xml:space="preserve"> Razin</w:t>
      </w:r>
      <w:r w:rsidR="00170138" w:rsidRPr="00170138">
        <w:rPr>
          <w:vertAlign w:val="superscript"/>
        </w:rPr>
        <w:t>1</w:t>
      </w:r>
      <w:r>
        <w:t>, S</w:t>
      </w:r>
      <w:r w:rsidR="00170138">
        <w:t>.</w:t>
      </w:r>
      <w:r>
        <w:t xml:space="preserve"> Tshori</w:t>
      </w:r>
      <w:r w:rsidR="00170138" w:rsidRPr="00170138">
        <w:rPr>
          <w:vertAlign w:val="superscript"/>
        </w:rPr>
        <w:t>7</w:t>
      </w:r>
    </w:p>
    <w:p w:rsidR="00170138" w:rsidRPr="00170138" w:rsidRDefault="00170138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70138">
        <w:rPr>
          <w:color w:val="000000"/>
          <w:sz w:val="20"/>
          <w:szCs w:val="20"/>
        </w:rPr>
        <w:t xml:space="preserve">1. </w:t>
      </w:r>
      <w:r w:rsidR="00B921ED" w:rsidRPr="00170138">
        <w:rPr>
          <w:color w:val="000000"/>
          <w:sz w:val="20"/>
          <w:szCs w:val="20"/>
        </w:rPr>
        <w:t>Department of Biochemistry and Molecular Biology, The Institute for Medical Research Israel-Canada, Hebrew University Medical School, Jerusalem, Israel</w:t>
      </w:r>
    </w:p>
    <w:p w:rsidR="00170138" w:rsidRPr="00170138" w:rsidRDefault="00170138" w:rsidP="00170138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70138">
        <w:rPr>
          <w:color w:val="000000"/>
          <w:sz w:val="20"/>
          <w:szCs w:val="20"/>
        </w:rPr>
        <w:t xml:space="preserve">2. </w:t>
      </w:r>
      <w:r w:rsidR="00B921ED" w:rsidRPr="00170138">
        <w:rPr>
          <w:color w:val="000000"/>
          <w:sz w:val="20"/>
          <w:szCs w:val="20"/>
        </w:rPr>
        <w:t xml:space="preserve">Department of Pathology, Shaare Zedek Medical Center, </w:t>
      </w:r>
      <w:r w:rsidRPr="00170138">
        <w:rPr>
          <w:color w:val="000000"/>
          <w:sz w:val="20"/>
          <w:szCs w:val="20"/>
        </w:rPr>
        <w:t>Jerusalem,</w:t>
      </w:r>
      <w:r w:rsidR="00B921ED" w:rsidRPr="00170138">
        <w:rPr>
          <w:color w:val="000000"/>
          <w:sz w:val="20"/>
          <w:szCs w:val="20"/>
        </w:rPr>
        <w:t xml:space="preserve"> Israel</w:t>
      </w:r>
    </w:p>
    <w:p w:rsidR="00170138" w:rsidRPr="00170138" w:rsidRDefault="00170138" w:rsidP="00170138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bookmarkStart w:id="0" w:name="_GoBack"/>
      <w:r w:rsidRPr="00170138">
        <w:rPr>
          <w:color w:val="000000"/>
          <w:sz w:val="20"/>
          <w:szCs w:val="20"/>
        </w:rPr>
        <w:t xml:space="preserve">3. </w:t>
      </w:r>
      <w:r w:rsidR="00B921ED" w:rsidRPr="00170138">
        <w:rPr>
          <w:color w:val="000000"/>
          <w:sz w:val="20"/>
          <w:szCs w:val="20"/>
        </w:rPr>
        <w:t>Department of Cancer Biology, The Scripps Research Institute</w:t>
      </w:r>
      <w:r w:rsidRPr="00170138">
        <w:rPr>
          <w:color w:val="000000"/>
          <w:sz w:val="20"/>
          <w:szCs w:val="20"/>
        </w:rPr>
        <w:t xml:space="preserve">, </w:t>
      </w:r>
      <w:r w:rsidR="00B921ED" w:rsidRPr="00170138">
        <w:rPr>
          <w:color w:val="000000"/>
          <w:sz w:val="20"/>
          <w:szCs w:val="20"/>
        </w:rPr>
        <w:t>Jupiter, FL, USA</w:t>
      </w:r>
    </w:p>
    <w:bookmarkEnd w:id="0"/>
    <w:p w:rsidR="00170138" w:rsidRPr="00170138" w:rsidRDefault="00170138" w:rsidP="00170138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70138">
        <w:rPr>
          <w:color w:val="000000"/>
          <w:sz w:val="20"/>
          <w:szCs w:val="20"/>
        </w:rPr>
        <w:t xml:space="preserve">4. </w:t>
      </w:r>
      <w:r w:rsidR="00B921ED" w:rsidRPr="00170138">
        <w:rPr>
          <w:color w:val="000000"/>
          <w:sz w:val="20"/>
          <w:szCs w:val="20"/>
        </w:rPr>
        <w:t>Sharett Institute of Oncology, Hadassah Hebrew University Medical center, Jerusalem, Israel</w:t>
      </w:r>
    </w:p>
    <w:p w:rsidR="00170138" w:rsidRPr="00170138" w:rsidRDefault="00170138" w:rsidP="00170138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70138">
        <w:rPr>
          <w:color w:val="000000"/>
          <w:sz w:val="20"/>
          <w:szCs w:val="20"/>
        </w:rPr>
        <w:t>5.</w:t>
      </w:r>
      <w:r w:rsidR="00B921ED" w:rsidRPr="00170138">
        <w:rPr>
          <w:color w:val="000000"/>
          <w:sz w:val="20"/>
          <w:szCs w:val="20"/>
        </w:rPr>
        <w:t xml:space="preserve"> Cardiovascular Research </w:t>
      </w:r>
      <w:r w:rsidRPr="00170138">
        <w:rPr>
          <w:color w:val="000000"/>
          <w:sz w:val="20"/>
          <w:szCs w:val="20"/>
        </w:rPr>
        <w:t>I</w:t>
      </w:r>
      <w:r w:rsidR="00B921ED" w:rsidRPr="00170138">
        <w:rPr>
          <w:color w:val="000000"/>
          <w:sz w:val="20"/>
          <w:szCs w:val="20"/>
        </w:rPr>
        <w:t>nstitute, Center of Translational Medicine, National University of Singapore,</w:t>
      </w:r>
      <w:r w:rsidRPr="00170138">
        <w:rPr>
          <w:color w:val="000000"/>
          <w:sz w:val="20"/>
          <w:szCs w:val="20"/>
        </w:rPr>
        <w:t xml:space="preserve"> </w:t>
      </w:r>
      <w:r w:rsidR="00B921ED" w:rsidRPr="00170138">
        <w:rPr>
          <w:color w:val="000000"/>
          <w:sz w:val="20"/>
          <w:szCs w:val="20"/>
        </w:rPr>
        <w:t>Singapore</w:t>
      </w:r>
    </w:p>
    <w:p w:rsidR="00170138" w:rsidRPr="00170138" w:rsidRDefault="00170138" w:rsidP="00170138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70138">
        <w:rPr>
          <w:color w:val="000000"/>
          <w:sz w:val="20"/>
          <w:szCs w:val="20"/>
        </w:rPr>
        <w:t xml:space="preserve">6. </w:t>
      </w:r>
      <w:r w:rsidR="00B921ED" w:rsidRPr="00170138">
        <w:rPr>
          <w:color w:val="000000"/>
          <w:sz w:val="20"/>
          <w:szCs w:val="20"/>
        </w:rPr>
        <w:t xml:space="preserve">Cutaneous Biology Research Center, Department of Dermatology, Massachusetts General Hospital, Harvard Medical School, </w:t>
      </w:r>
      <w:r w:rsidRPr="00170138">
        <w:rPr>
          <w:color w:val="000000"/>
          <w:sz w:val="20"/>
          <w:szCs w:val="20"/>
        </w:rPr>
        <w:t>B</w:t>
      </w:r>
      <w:r w:rsidR="00B921ED" w:rsidRPr="00170138">
        <w:rPr>
          <w:color w:val="000000"/>
          <w:sz w:val="20"/>
          <w:szCs w:val="20"/>
        </w:rPr>
        <w:t xml:space="preserve">oston, </w:t>
      </w:r>
      <w:r w:rsidRPr="00170138">
        <w:rPr>
          <w:color w:val="000000"/>
          <w:sz w:val="20"/>
          <w:szCs w:val="20"/>
        </w:rPr>
        <w:t>USA</w:t>
      </w:r>
    </w:p>
    <w:p w:rsidR="00170138" w:rsidRPr="00170138" w:rsidRDefault="00170138" w:rsidP="00170138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70138">
        <w:rPr>
          <w:color w:val="000000"/>
          <w:sz w:val="20"/>
          <w:szCs w:val="20"/>
        </w:rPr>
        <w:t xml:space="preserve">7. </w:t>
      </w:r>
      <w:r w:rsidR="00B921ED" w:rsidRPr="00170138">
        <w:rPr>
          <w:color w:val="000000"/>
          <w:sz w:val="20"/>
          <w:szCs w:val="20"/>
        </w:rPr>
        <w:t>Department of Nuclear Medicine, Hadassah-Hebrew University Medical Center, Jerusalem, Israel</w:t>
      </w:r>
    </w:p>
    <w:p w:rsidR="00170138" w:rsidRPr="00170138" w:rsidRDefault="00170138" w:rsidP="00170138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70138">
        <w:rPr>
          <w:color w:val="000000"/>
          <w:sz w:val="20"/>
          <w:szCs w:val="20"/>
        </w:rPr>
        <w:t xml:space="preserve">8. </w:t>
      </w:r>
      <w:r w:rsidR="00B921ED" w:rsidRPr="00170138">
        <w:rPr>
          <w:color w:val="000000"/>
          <w:sz w:val="20"/>
          <w:szCs w:val="20"/>
        </w:rPr>
        <w:t>Heart Institute, Hadassah-Hebrew University Medical Center, Jerusalem, Israel</w:t>
      </w:r>
    </w:p>
    <w:p w:rsidR="00170138" w:rsidRPr="00170138" w:rsidRDefault="00170138" w:rsidP="00170138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70138">
        <w:rPr>
          <w:color w:val="000000"/>
          <w:sz w:val="20"/>
          <w:szCs w:val="20"/>
        </w:rPr>
        <w:t xml:space="preserve">9. </w:t>
      </w:r>
      <w:r w:rsidR="00B921ED" w:rsidRPr="00170138">
        <w:rPr>
          <w:color w:val="000000"/>
          <w:sz w:val="20"/>
          <w:szCs w:val="20"/>
        </w:rPr>
        <w:t>Department of Stem Cell and Regenerative Biology, Harvard University, Cambridge</w:t>
      </w:r>
      <w:r w:rsidRPr="00170138">
        <w:rPr>
          <w:color w:val="000000"/>
          <w:sz w:val="20"/>
          <w:szCs w:val="20"/>
        </w:rPr>
        <w:t>,</w:t>
      </w:r>
      <w:r w:rsidR="00B921ED" w:rsidRPr="00170138">
        <w:rPr>
          <w:color w:val="000000"/>
          <w:sz w:val="20"/>
          <w:szCs w:val="20"/>
        </w:rPr>
        <w:t xml:space="preserve"> Harvard Stem Cell Institute, Cambridge, MA</w:t>
      </w:r>
      <w:r w:rsidRPr="00170138">
        <w:rPr>
          <w:color w:val="000000"/>
          <w:sz w:val="20"/>
          <w:szCs w:val="20"/>
        </w:rPr>
        <w:t xml:space="preserve">, </w:t>
      </w:r>
      <w:r w:rsidR="00B921ED" w:rsidRPr="00170138">
        <w:rPr>
          <w:color w:val="000000"/>
          <w:sz w:val="20"/>
          <w:szCs w:val="20"/>
        </w:rPr>
        <w:t xml:space="preserve">USA ,  </w:t>
      </w:r>
    </w:p>
    <w:p w:rsidR="00B921ED" w:rsidRPr="00170138" w:rsidRDefault="00170138" w:rsidP="00170138">
      <w:pPr>
        <w:widowControl w:val="0"/>
        <w:autoSpaceDE w:val="0"/>
        <w:autoSpaceDN w:val="0"/>
        <w:adjustRightInd w:val="0"/>
        <w:rPr>
          <w:color w:val="503820"/>
          <w:sz w:val="20"/>
          <w:szCs w:val="20"/>
        </w:rPr>
      </w:pPr>
      <w:r w:rsidRPr="00170138">
        <w:rPr>
          <w:color w:val="000000"/>
          <w:sz w:val="20"/>
          <w:szCs w:val="20"/>
        </w:rPr>
        <w:t xml:space="preserve">10. </w:t>
      </w:r>
      <w:r w:rsidR="00B921ED" w:rsidRPr="00170138">
        <w:rPr>
          <w:color w:val="000000"/>
          <w:sz w:val="20"/>
          <w:szCs w:val="20"/>
        </w:rPr>
        <w:t>Cardiovascular Division, Department of Medicine, Brigham and Women's Hospital and Harvard Medical School, Boston, MA,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FD23C6" w:rsidRDefault="00B921ED">
      <w:pPr>
        <w:widowControl w:val="0"/>
        <w:autoSpaceDE w:val="0"/>
        <w:autoSpaceDN w:val="0"/>
        <w:adjustRightInd w:val="0"/>
        <w:jc w:val="both"/>
      </w:pPr>
      <w:r w:rsidRPr="00FD23C6">
        <w:rPr>
          <w:i/>
          <w:iCs/>
        </w:rPr>
        <w:t>Background</w:t>
      </w:r>
      <w:r>
        <w:t>:</w:t>
      </w:r>
      <w:r w:rsidR="00FD23C6">
        <w:t xml:space="preserve"> </w:t>
      </w:r>
      <w:r>
        <w:t xml:space="preserve">Changes in cardiac gene expression contribute to the progression of heart failure by affecting cardiomyocyte growth, function, and survival. Microphthalmia-associated transcription factor (MITF) is highly expressed in cardiomyocytes. We have previously reported that MITF-mutated mice have diminished cardiac hypertrophy in response to </w:t>
      </w:r>
      <w:r w:rsidR="00F67B69">
        <w:t>beta-</w:t>
      </w:r>
      <w:r>
        <w:t>adrenergic stimulation resulting in decreased cardiac function, and that cardiac size and function are decreased in middle aged MITF-mutated mice. Thus, MITF is required for cardiac hypertrophy but the molecular mechanisms involved are unknown.</w:t>
      </w:r>
    </w:p>
    <w:p w:rsidR="00FD23C6" w:rsidRDefault="00B921ED">
      <w:pPr>
        <w:widowControl w:val="0"/>
        <w:autoSpaceDE w:val="0"/>
        <w:autoSpaceDN w:val="0"/>
        <w:adjustRightInd w:val="0"/>
        <w:jc w:val="both"/>
      </w:pPr>
      <w:r w:rsidRPr="00FD23C6">
        <w:rPr>
          <w:i/>
          <w:iCs/>
        </w:rPr>
        <w:t>Objective</w:t>
      </w:r>
      <w:r>
        <w:t>: To elucidate the molecular mechanism by which MITF regulates cardiac hypertrophy.</w:t>
      </w:r>
    </w:p>
    <w:p w:rsidR="00FD23C6" w:rsidRDefault="00B921ED">
      <w:pPr>
        <w:widowControl w:val="0"/>
        <w:autoSpaceDE w:val="0"/>
        <w:autoSpaceDN w:val="0"/>
        <w:adjustRightInd w:val="0"/>
        <w:jc w:val="both"/>
      </w:pPr>
      <w:r w:rsidRPr="00FD23C6">
        <w:rPr>
          <w:i/>
          <w:iCs/>
        </w:rPr>
        <w:t>Methods and Results</w:t>
      </w:r>
      <w:r>
        <w:t>:</w:t>
      </w:r>
      <w:r w:rsidR="00FD23C6">
        <w:t xml:space="preserve"> </w:t>
      </w:r>
      <w:r>
        <w:t xml:space="preserve">Gene array analysis of hearts from MITF-mutated mice indicated that ErbB2 interacting protein (Erbin), which we have recently shown to be a negative modulator of pathological cardiac hypertrophy, is a candidate target gene for MITF. Here we show that Erbin expression is regulated by MITF. Under basal conditions MITF activates Erbin expression by direct binding to its promoter. However, under </w:t>
      </w:r>
      <w:r w:rsidR="000D357D">
        <w:t>b</w:t>
      </w:r>
      <w:r w:rsidR="00F67B69">
        <w:t>eta-</w:t>
      </w:r>
      <w:r>
        <w:t xml:space="preserve">adrenergic stimulation Erbin expression is decreased only in wild type mice, but not in MITF-mutated mice. Yeast two-hybrid screening, using MITF as bait, identified interaction with the cardiac-predominant four-and-a-half LIM domain protein 2 (FHL2), which was confirmed by co-immunoprecipitation in both mouse and human hearts. Upon </w:t>
      </w:r>
      <w:r w:rsidR="000D357D">
        <w:t>b</w:t>
      </w:r>
      <w:r w:rsidR="00F67B69">
        <w:t>eta-</w:t>
      </w:r>
      <w:r>
        <w:t>adrenergic stimulation, FHL2 and MITF bind Erbin promoter as a complex, and repress MITF-directed Erbin expression. Overexpression of FHL2 alone had no effect on Erbin expression, but in the presence of MITF, Erbin expression was decreased. FHL2-MITF association was also increased in biopsies from heart failure patients.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FD23C6">
        <w:rPr>
          <w:i/>
          <w:iCs/>
        </w:rPr>
        <w:t>Conclusion</w:t>
      </w:r>
      <w:r>
        <w:t>: Our results suggest that MITF-FHL2 interaction acts as signal responsive activator/repressor of Erbin expression during cardiac hypertrophy, and this fine tuning mechanism could be an important regulator of cardiac hypertrophy.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BF7" w:rsidRDefault="003A1BF7" w:rsidP="00170138">
      <w:r>
        <w:separator/>
      </w:r>
    </w:p>
  </w:endnote>
  <w:endnote w:type="continuationSeparator" w:id="0">
    <w:p w:rsidR="003A1BF7" w:rsidRDefault="003A1BF7" w:rsidP="0017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BF7" w:rsidRDefault="003A1BF7" w:rsidP="00170138">
      <w:r>
        <w:separator/>
      </w:r>
    </w:p>
  </w:footnote>
  <w:footnote w:type="continuationSeparator" w:id="0">
    <w:p w:rsidR="003A1BF7" w:rsidRDefault="003A1BF7" w:rsidP="00170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138" w:rsidRDefault="00170138" w:rsidP="00170138">
    <w:pPr>
      <w:pStyle w:val="Header"/>
    </w:pPr>
    <w:r>
      <w:t xml:space="preserve">1267     either      Cat: 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Molecular cardiology, Basic research</w:t>
    </w:r>
  </w:p>
  <w:p w:rsidR="00170138" w:rsidRDefault="00170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0D357D"/>
    <w:rsid w:val="001241CD"/>
    <w:rsid w:val="00170138"/>
    <w:rsid w:val="002563D5"/>
    <w:rsid w:val="003A1BF7"/>
    <w:rsid w:val="00447B2F"/>
    <w:rsid w:val="00450179"/>
    <w:rsid w:val="00517626"/>
    <w:rsid w:val="00B921ED"/>
    <w:rsid w:val="00DF2EDE"/>
    <w:rsid w:val="00F67B69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9F396AB-CD20-40BE-84F3-168697A6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1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0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1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2</cp:revision>
  <dcterms:created xsi:type="dcterms:W3CDTF">2016-03-22T11:01:00Z</dcterms:created>
  <dcterms:modified xsi:type="dcterms:W3CDTF">2016-03-22T11:01:00Z</dcterms:modified>
</cp:coreProperties>
</file>